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20" w:rsidRPr="009C7304" w:rsidRDefault="001463CD" w:rsidP="009C7304">
      <w:pPr>
        <w:pStyle w:val="BodyText"/>
        <w:spacing w:before="99" w:line="285" w:lineRule="auto"/>
        <w:ind w:left="694" w:right="293"/>
        <w:jc w:val="both"/>
        <w:rPr>
          <w:rFonts w:ascii="Myriad Pro" w:eastAsiaTheme="minorHAnsi" w:hAnsi="Myriad Pro" w:cstheme="minorBidi"/>
          <w:bCs w:val="0"/>
          <w:sz w:val="18"/>
          <w:szCs w:val="18"/>
          <w:lang w:val="en-CA"/>
        </w:rPr>
      </w:pP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Supplementary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Table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1: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Doses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of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insulin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glargine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and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insulin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glulisine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–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Safety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population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(N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 xml:space="preserve"> </w:t>
      </w:r>
      <w:r w:rsidRPr="009C7304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t>= 206)</w:t>
      </w:r>
    </w:p>
    <w:p w:rsidR="00150820" w:rsidRDefault="00150820">
      <w:pPr>
        <w:spacing w:before="6"/>
        <w:rPr>
          <w:b/>
          <w:sz w:val="2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43"/>
        <w:gridCol w:w="957"/>
        <w:gridCol w:w="1393"/>
        <w:gridCol w:w="1718"/>
        <w:gridCol w:w="1501"/>
        <w:gridCol w:w="1855"/>
      </w:tblGrid>
      <w:tr w:rsidR="00150820" w:rsidTr="009C7304">
        <w:trPr>
          <w:trHeight w:hRule="exact" w:val="367"/>
        </w:trPr>
        <w:tc>
          <w:tcPr>
            <w:tcW w:w="6111" w:type="dxa"/>
            <w:gridSpan w:val="4"/>
          </w:tcPr>
          <w:p w:rsidR="00150820" w:rsidRPr="005970CC" w:rsidRDefault="001463CD">
            <w:pPr>
              <w:pStyle w:val="TableParagraph"/>
              <w:spacing w:before="7"/>
              <w:ind w:left="3894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Insulin glargine</w:t>
            </w:r>
          </w:p>
        </w:tc>
        <w:tc>
          <w:tcPr>
            <w:tcW w:w="3356" w:type="dxa"/>
            <w:gridSpan w:val="2"/>
          </w:tcPr>
          <w:p w:rsidR="00150820" w:rsidRPr="005970CC" w:rsidRDefault="001463CD">
            <w:pPr>
              <w:pStyle w:val="TableParagraph"/>
              <w:spacing w:before="7"/>
              <w:ind w:left="999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Insulin glulisine</w:t>
            </w:r>
          </w:p>
        </w:tc>
      </w:tr>
      <w:tr w:rsidR="00150820" w:rsidTr="009C7304">
        <w:trPr>
          <w:trHeight w:hRule="exact" w:val="722"/>
        </w:trPr>
        <w:tc>
          <w:tcPr>
            <w:tcW w:w="3000" w:type="dxa"/>
            <w:gridSpan w:val="2"/>
          </w:tcPr>
          <w:p w:rsidR="00150820" w:rsidRPr="005970CC" w:rsidRDefault="001463CD">
            <w:pPr>
              <w:pStyle w:val="TableParagraph"/>
              <w:spacing w:before="6" w:line="372" w:lineRule="auto"/>
              <w:ind w:left="2197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 xml:space="preserve">Missing </w:t>
            </w: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data</w:t>
            </w:r>
          </w:p>
        </w:tc>
        <w:tc>
          <w:tcPr>
            <w:tcW w:w="1393" w:type="dxa"/>
          </w:tcPr>
          <w:p w:rsidR="00150820" w:rsidRPr="005970CC" w:rsidRDefault="001463CD">
            <w:pPr>
              <w:pStyle w:val="TableParagraph"/>
              <w:spacing w:before="6"/>
              <w:ind w:left="287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Mean (SD)</w:t>
            </w:r>
          </w:p>
        </w:tc>
        <w:tc>
          <w:tcPr>
            <w:tcW w:w="1718" w:type="dxa"/>
          </w:tcPr>
          <w:p w:rsidR="00150820" w:rsidRPr="005970CC" w:rsidRDefault="001463CD">
            <w:pPr>
              <w:pStyle w:val="TableParagraph"/>
              <w:spacing w:before="6"/>
              <w:ind w:left="283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Median (range)</w:t>
            </w:r>
          </w:p>
        </w:tc>
        <w:tc>
          <w:tcPr>
            <w:tcW w:w="1501" w:type="dxa"/>
          </w:tcPr>
          <w:p w:rsidR="00150820" w:rsidRPr="005970CC" w:rsidRDefault="001463CD">
            <w:pPr>
              <w:pStyle w:val="TableParagraph"/>
              <w:spacing w:before="6"/>
              <w:ind w:left="367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Mean (SD)</w:t>
            </w:r>
          </w:p>
        </w:tc>
        <w:tc>
          <w:tcPr>
            <w:tcW w:w="1854" w:type="dxa"/>
          </w:tcPr>
          <w:p w:rsidR="00150820" w:rsidRPr="005970CC" w:rsidRDefault="001463CD">
            <w:pPr>
              <w:pStyle w:val="TableParagraph"/>
              <w:spacing w:before="6"/>
              <w:ind w:left="33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Median (range)</w:t>
            </w:r>
          </w:p>
        </w:tc>
      </w:tr>
      <w:tr w:rsidR="00150820" w:rsidTr="009C7304">
        <w:trPr>
          <w:trHeight w:hRule="exact" w:val="308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spacing w:before="9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Daily dose (U)</w:t>
            </w:r>
          </w:p>
        </w:tc>
        <w:tc>
          <w:tcPr>
            <w:tcW w:w="957" w:type="dxa"/>
          </w:tcPr>
          <w:p w:rsidR="00150820" w:rsidRPr="005970CC" w:rsidRDefault="00150820">
            <w:pPr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</w:p>
        </w:tc>
        <w:tc>
          <w:tcPr>
            <w:tcW w:w="1393" w:type="dxa"/>
          </w:tcPr>
          <w:p w:rsidR="00150820" w:rsidRPr="005970CC" w:rsidRDefault="00150820">
            <w:pPr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</w:p>
        </w:tc>
        <w:tc>
          <w:tcPr>
            <w:tcW w:w="1718" w:type="dxa"/>
          </w:tcPr>
          <w:p w:rsidR="00150820" w:rsidRPr="005970CC" w:rsidRDefault="00150820">
            <w:pPr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</w:p>
        </w:tc>
        <w:tc>
          <w:tcPr>
            <w:tcW w:w="1501" w:type="dxa"/>
          </w:tcPr>
          <w:p w:rsidR="00150820" w:rsidRPr="005970CC" w:rsidRDefault="00150820">
            <w:pPr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</w:p>
        </w:tc>
        <w:tc>
          <w:tcPr>
            <w:tcW w:w="1854" w:type="dxa"/>
          </w:tcPr>
          <w:p w:rsidR="00150820" w:rsidRPr="005970CC" w:rsidRDefault="00150820">
            <w:pPr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</w:p>
        </w:tc>
      </w:tr>
      <w:tr w:rsidR="00150820" w:rsidTr="009C7304">
        <w:trPr>
          <w:trHeight w:hRule="exact" w:val="356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spacing w:before="60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at first administration</w:t>
            </w:r>
          </w:p>
        </w:tc>
        <w:tc>
          <w:tcPr>
            <w:tcW w:w="957" w:type="dxa"/>
          </w:tcPr>
          <w:p w:rsidR="00150820" w:rsidRPr="005970CC" w:rsidRDefault="001463CD">
            <w:pPr>
              <w:pStyle w:val="TableParagraph"/>
              <w:spacing w:before="60"/>
              <w:ind w:left="159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1</w:t>
            </w:r>
          </w:p>
        </w:tc>
        <w:tc>
          <w:tcPr>
            <w:tcW w:w="1393" w:type="dxa"/>
          </w:tcPr>
          <w:p w:rsidR="00150820" w:rsidRPr="005970CC" w:rsidRDefault="001463CD">
            <w:pPr>
              <w:pStyle w:val="TableParagraph"/>
              <w:spacing w:before="60"/>
              <w:ind w:left="134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29.0 (13.5)</w:t>
            </w:r>
          </w:p>
        </w:tc>
        <w:tc>
          <w:tcPr>
            <w:tcW w:w="1718" w:type="dxa"/>
          </w:tcPr>
          <w:p w:rsidR="00150820" w:rsidRPr="005970CC" w:rsidRDefault="001463CD">
            <w:pPr>
              <w:pStyle w:val="TableParagraph"/>
              <w:spacing w:before="60"/>
              <w:ind w:left="181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28.0 (6.0; 86.0)</w:t>
            </w:r>
          </w:p>
        </w:tc>
        <w:tc>
          <w:tcPr>
            <w:tcW w:w="1501" w:type="dxa"/>
          </w:tcPr>
          <w:p w:rsidR="00150820" w:rsidRPr="005970CC" w:rsidRDefault="001463CD">
            <w:pPr>
              <w:pStyle w:val="TableParagraph"/>
              <w:spacing w:before="60"/>
              <w:ind w:left="155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22.7 (13.6)</w:t>
            </w:r>
          </w:p>
        </w:tc>
        <w:tc>
          <w:tcPr>
            <w:tcW w:w="1854" w:type="dxa"/>
          </w:tcPr>
          <w:p w:rsidR="00150820" w:rsidRPr="005970CC" w:rsidRDefault="001463CD">
            <w:pPr>
              <w:pStyle w:val="TableParagraph"/>
              <w:spacing w:before="60"/>
              <w:ind w:left="209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20.0 (3.0; 108.0)</w:t>
            </w:r>
          </w:p>
        </w:tc>
      </w:tr>
      <w:tr w:rsidR="00150820" w:rsidTr="009C7304">
        <w:trPr>
          <w:trHeight w:hRule="exact" w:val="357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at week 2</w:t>
            </w:r>
          </w:p>
        </w:tc>
        <w:tc>
          <w:tcPr>
            <w:tcW w:w="957" w:type="dxa"/>
          </w:tcPr>
          <w:p w:rsidR="00150820" w:rsidRPr="005970CC" w:rsidRDefault="001463CD">
            <w:pPr>
              <w:pStyle w:val="TableParagraph"/>
              <w:ind w:left="15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7</w:t>
            </w:r>
          </w:p>
        </w:tc>
        <w:tc>
          <w:tcPr>
            <w:tcW w:w="1393" w:type="dxa"/>
          </w:tcPr>
          <w:p w:rsidR="00150820" w:rsidRPr="005970CC" w:rsidRDefault="001463CD">
            <w:pPr>
              <w:pStyle w:val="TableParagraph"/>
              <w:ind w:left="132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29.4 (13.7)</w:t>
            </w:r>
          </w:p>
        </w:tc>
        <w:tc>
          <w:tcPr>
            <w:tcW w:w="1718" w:type="dxa"/>
          </w:tcPr>
          <w:p w:rsidR="00150820" w:rsidRPr="005970CC" w:rsidRDefault="001463CD">
            <w:pPr>
              <w:pStyle w:val="TableParagraph"/>
              <w:ind w:left="180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28.0 (0.0; 86.0)</w:t>
            </w:r>
          </w:p>
        </w:tc>
        <w:tc>
          <w:tcPr>
            <w:tcW w:w="1501" w:type="dxa"/>
          </w:tcPr>
          <w:p w:rsidR="00150820" w:rsidRPr="005970CC" w:rsidRDefault="001463CD">
            <w:pPr>
              <w:pStyle w:val="TableParagraph"/>
              <w:ind w:left="154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23.8 (13.8)</w:t>
            </w:r>
          </w:p>
        </w:tc>
        <w:tc>
          <w:tcPr>
            <w:tcW w:w="1854" w:type="dxa"/>
          </w:tcPr>
          <w:p w:rsidR="00150820" w:rsidRPr="005970CC" w:rsidRDefault="001463CD">
            <w:pPr>
              <w:pStyle w:val="TableParagraph"/>
              <w:ind w:left="20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21.0 (0.0; 108.0)</w:t>
            </w:r>
          </w:p>
        </w:tc>
      </w:tr>
      <w:tr w:rsidR="00150820" w:rsidTr="009C7304">
        <w:trPr>
          <w:trHeight w:hRule="exact" w:val="357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at week 4</w:t>
            </w:r>
          </w:p>
        </w:tc>
        <w:tc>
          <w:tcPr>
            <w:tcW w:w="957" w:type="dxa"/>
          </w:tcPr>
          <w:p w:rsidR="00150820" w:rsidRPr="005970CC" w:rsidRDefault="001463CD">
            <w:pPr>
              <w:pStyle w:val="TableParagraph"/>
              <w:ind w:left="15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9</w:t>
            </w:r>
          </w:p>
        </w:tc>
        <w:tc>
          <w:tcPr>
            <w:tcW w:w="1393" w:type="dxa"/>
          </w:tcPr>
          <w:p w:rsidR="00150820" w:rsidRPr="005970CC" w:rsidRDefault="001463CD">
            <w:pPr>
              <w:pStyle w:val="TableParagraph"/>
              <w:ind w:left="132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30.1 (13.7)</w:t>
            </w:r>
          </w:p>
        </w:tc>
        <w:tc>
          <w:tcPr>
            <w:tcW w:w="1718" w:type="dxa"/>
          </w:tcPr>
          <w:p w:rsidR="00150820" w:rsidRPr="005970CC" w:rsidRDefault="001463CD">
            <w:pPr>
              <w:pStyle w:val="TableParagraph"/>
              <w:ind w:left="180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26.0 (6.0; 86.0)</w:t>
            </w:r>
          </w:p>
        </w:tc>
        <w:tc>
          <w:tcPr>
            <w:tcW w:w="1501" w:type="dxa"/>
          </w:tcPr>
          <w:p w:rsidR="00150820" w:rsidRPr="005970CC" w:rsidRDefault="001463CD">
            <w:pPr>
              <w:pStyle w:val="TableParagraph"/>
              <w:ind w:left="154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25.4 (14.2)</w:t>
            </w:r>
          </w:p>
        </w:tc>
        <w:tc>
          <w:tcPr>
            <w:tcW w:w="1854" w:type="dxa"/>
          </w:tcPr>
          <w:p w:rsidR="00150820" w:rsidRPr="005970CC" w:rsidRDefault="001463CD">
            <w:pPr>
              <w:pStyle w:val="TableParagraph"/>
              <w:ind w:left="20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23.0 (4.0; 108.0)</w:t>
            </w:r>
          </w:p>
        </w:tc>
      </w:tr>
      <w:tr w:rsidR="00150820" w:rsidTr="009C7304">
        <w:trPr>
          <w:trHeight w:hRule="exact" w:val="358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at week 8</w:t>
            </w:r>
          </w:p>
        </w:tc>
        <w:tc>
          <w:tcPr>
            <w:tcW w:w="957" w:type="dxa"/>
          </w:tcPr>
          <w:p w:rsidR="00150820" w:rsidRPr="005970CC" w:rsidRDefault="001463CD">
            <w:pPr>
              <w:pStyle w:val="TableParagraph"/>
              <w:ind w:left="15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11</w:t>
            </w:r>
          </w:p>
        </w:tc>
        <w:tc>
          <w:tcPr>
            <w:tcW w:w="1393" w:type="dxa"/>
          </w:tcPr>
          <w:p w:rsidR="00150820" w:rsidRPr="005970CC" w:rsidRDefault="001463CD">
            <w:pPr>
              <w:pStyle w:val="TableParagraph"/>
              <w:ind w:left="132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30.3 (13.9)</w:t>
            </w:r>
          </w:p>
        </w:tc>
        <w:tc>
          <w:tcPr>
            <w:tcW w:w="1718" w:type="dxa"/>
          </w:tcPr>
          <w:p w:rsidR="00150820" w:rsidRPr="005970CC" w:rsidRDefault="001463CD">
            <w:pPr>
              <w:pStyle w:val="TableParagraph"/>
              <w:ind w:left="180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26.0 (0.0; 86.0)</w:t>
            </w:r>
          </w:p>
        </w:tc>
        <w:tc>
          <w:tcPr>
            <w:tcW w:w="1501" w:type="dxa"/>
          </w:tcPr>
          <w:p w:rsidR="00150820" w:rsidRPr="005970CC" w:rsidRDefault="001463CD">
            <w:pPr>
              <w:pStyle w:val="TableParagraph"/>
              <w:ind w:left="154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26.3 (14.9)</w:t>
            </w:r>
          </w:p>
        </w:tc>
        <w:tc>
          <w:tcPr>
            <w:tcW w:w="1854" w:type="dxa"/>
          </w:tcPr>
          <w:p w:rsidR="00150820" w:rsidRPr="005970CC" w:rsidRDefault="001463CD">
            <w:pPr>
              <w:pStyle w:val="TableParagraph"/>
              <w:ind w:left="20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24.0 (0.0; 108.0)</w:t>
            </w:r>
          </w:p>
        </w:tc>
      </w:tr>
      <w:tr w:rsidR="00150820" w:rsidTr="009C7304">
        <w:trPr>
          <w:trHeight w:hRule="exact" w:val="357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at week 12</w:t>
            </w:r>
          </w:p>
        </w:tc>
        <w:tc>
          <w:tcPr>
            <w:tcW w:w="957" w:type="dxa"/>
          </w:tcPr>
          <w:p w:rsidR="00150820" w:rsidRPr="005970CC" w:rsidRDefault="001463CD">
            <w:pPr>
              <w:pStyle w:val="TableParagraph"/>
              <w:ind w:left="15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15</w:t>
            </w:r>
          </w:p>
        </w:tc>
        <w:tc>
          <w:tcPr>
            <w:tcW w:w="1393" w:type="dxa"/>
          </w:tcPr>
          <w:p w:rsidR="00150820" w:rsidRPr="005970CC" w:rsidRDefault="001463CD">
            <w:pPr>
              <w:pStyle w:val="TableParagraph"/>
              <w:ind w:left="132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29.6 (12.8)</w:t>
            </w:r>
          </w:p>
        </w:tc>
        <w:tc>
          <w:tcPr>
            <w:tcW w:w="1718" w:type="dxa"/>
          </w:tcPr>
          <w:p w:rsidR="00150820" w:rsidRPr="005970CC" w:rsidRDefault="001463CD">
            <w:pPr>
              <w:pStyle w:val="TableParagraph"/>
              <w:ind w:left="180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26.0 (8.0; 86.0)</w:t>
            </w:r>
          </w:p>
        </w:tc>
        <w:tc>
          <w:tcPr>
            <w:tcW w:w="1501" w:type="dxa"/>
          </w:tcPr>
          <w:p w:rsidR="00150820" w:rsidRPr="005970CC" w:rsidRDefault="001463CD">
            <w:pPr>
              <w:pStyle w:val="TableParagraph"/>
              <w:ind w:left="154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27.9 (15.9)</w:t>
            </w:r>
          </w:p>
        </w:tc>
        <w:tc>
          <w:tcPr>
            <w:tcW w:w="1854" w:type="dxa"/>
          </w:tcPr>
          <w:p w:rsidR="00150820" w:rsidRPr="005970CC" w:rsidRDefault="001463CD">
            <w:pPr>
              <w:pStyle w:val="TableParagraph"/>
              <w:ind w:left="20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24.0 (3.0; 110.0)</w:t>
            </w:r>
          </w:p>
        </w:tc>
      </w:tr>
      <w:tr w:rsidR="00150820" w:rsidTr="009C7304">
        <w:trPr>
          <w:trHeight w:hRule="exact" w:val="357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at week 24</w:t>
            </w:r>
          </w:p>
        </w:tc>
        <w:tc>
          <w:tcPr>
            <w:tcW w:w="957" w:type="dxa"/>
          </w:tcPr>
          <w:p w:rsidR="00150820" w:rsidRPr="005970CC" w:rsidRDefault="001463CD">
            <w:pPr>
              <w:pStyle w:val="TableParagraph"/>
              <w:ind w:left="15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12</w:t>
            </w:r>
          </w:p>
        </w:tc>
        <w:tc>
          <w:tcPr>
            <w:tcW w:w="1393" w:type="dxa"/>
          </w:tcPr>
          <w:p w:rsidR="00150820" w:rsidRPr="005970CC" w:rsidRDefault="001463CD">
            <w:pPr>
              <w:pStyle w:val="TableParagraph"/>
              <w:ind w:left="132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30.5 (13.6)</w:t>
            </w:r>
          </w:p>
        </w:tc>
        <w:tc>
          <w:tcPr>
            <w:tcW w:w="1718" w:type="dxa"/>
          </w:tcPr>
          <w:p w:rsidR="00150820" w:rsidRPr="005970CC" w:rsidRDefault="001463CD">
            <w:pPr>
              <w:pStyle w:val="TableParagraph"/>
              <w:ind w:left="180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27.5 (0.0; 90.0)</w:t>
            </w:r>
          </w:p>
        </w:tc>
        <w:tc>
          <w:tcPr>
            <w:tcW w:w="1501" w:type="dxa"/>
          </w:tcPr>
          <w:p w:rsidR="00150820" w:rsidRPr="005970CC" w:rsidRDefault="001463CD">
            <w:pPr>
              <w:pStyle w:val="TableParagraph"/>
              <w:ind w:left="154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28.7 (17.5)</w:t>
            </w:r>
          </w:p>
        </w:tc>
        <w:tc>
          <w:tcPr>
            <w:tcW w:w="1854" w:type="dxa"/>
          </w:tcPr>
          <w:p w:rsidR="00150820" w:rsidRPr="005970CC" w:rsidRDefault="001463CD">
            <w:pPr>
              <w:pStyle w:val="TableParagraph"/>
              <w:ind w:left="20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24.0 (0.0; 110.0)</w:t>
            </w:r>
          </w:p>
        </w:tc>
      </w:tr>
      <w:tr w:rsidR="00150820" w:rsidTr="009C7304">
        <w:trPr>
          <w:trHeight w:hRule="exact" w:val="356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Daily dose (U/kg)</w:t>
            </w:r>
          </w:p>
        </w:tc>
        <w:tc>
          <w:tcPr>
            <w:tcW w:w="957" w:type="dxa"/>
          </w:tcPr>
          <w:p w:rsidR="00150820" w:rsidRPr="005970CC" w:rsidRDefault="00150820">
            <w:pPr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</w:p>
        </w:tc>
        <w:tc>
          <w:tcPr>
            <w:tcW w:w="1393" w:type="dxa"/>
          </w:tcPr>
          <w:p w:rsidR="00150820" w:rsidRPr="005970CC" w:rsidRDefault="00150820">
            <w:pPr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</w:p>
        </w:tc>
        <w:tc>
          <w:tcPr>
            <w:tcW w:w="1718" w:type="dxa"/>
          </w:tcPr>
          <w:p w:rsidR="00150820" w:rsidRPr="005970CC" w:rsidRDefault="00150820">
            <w:pPr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</w:p>
        </w:tc>
        <w:tc>
          <w:tcPr>
            <w:tcW w:w="1501" w:type="dxa"/>
          </w:tcPr>
          <w:p w:rsidR="00150820" w:rsidRPr="005970CC" w:rsidRDefault="00150820">
            <w:pPr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</w:p>
        </w:tc>
        <w:tc>
          <w:tcPr>
            <w:tcW w:w="1854" w:type="dxa"/>
          </w:tcPr>
          <w:p w:rsidR="00150820" w:rsidRPr="005970CC" w:rsidRDefault="00150820">
            <w:pPr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</w:p>
        </w:tc>
      </w:tr>
      <w:tr w:rsidR="00150820" w:rsidTr="005970CC">
        <w:trPr>
          <w:trHeight w:hRule="exact" w:val="526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spacing w:before="60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at first administration</w:t>
            </w:r>
          </w:p>
        </w:tc>
        <w:tc>
          <w:tcPr>
            <w:tcW w:w="957" w:type="dxa"/>
          </w:tcPr>
          <w:p w:rsidR="00150820" w:rsidRPr="005970CC" w:rsidRDefault="001463CD">
            <w:pPr>
              <w:pStyle w:val="TableParagraph"/>
              <w:spacing w:before="60"/>
              <w:ind w:left="159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2</w:t>
            </w:r>
          </w:p>
        </w:tc>
        <w:tc>
          <w:tcPr>
            <w:tcW w:w="1393" w:type="dxa"/>
          </w:tcPr>
          <w:p w:rsidR="00150820" w:rsidRPr="005970CC" w:rsidRDefault="001463CD">
            <w:pPr>
              <w:pStyle w:val="TableParagraph"/>
              <w:spacing w:before="60"/>
              <w:ind w:left="133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0.4 (0.2)</w:t>
            </w:r>
          </w:p>
        </w:tc>
        <w:tc>
          <w:tcPr>
            <w:tcW w:w="1718" w:type="dxa"/>
          </w:tcPr>
          <w:p w:rsidR="00150820" w:rsidRPr="005970CC" w:rsidRDefault="001463CD">
            <w:pPr>
              <w:pStyle w:val="TableParagraph"/>
              <w:spacing w:before="60"/>
              <w:ind w:left="180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0.4 (0.1; 1.1)</w:t>
            </w:r>
          </w:p>
        </w:tc>
        <w:tc>
          <w:tcPr>
            <w:tcW w:w="1501" w:type="dxa"/>
          </w:tcPr>
          <w:p w:rsidR="00150820" w:rsidRPr="005970CC" w:rsidRDefault="001463CD">
            <w:pPr>
              <w:pStyle w:val="TableParagraph"/>
              <w:spacing w:before="60"/>
              <w:ind w:left="155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0.3 (0.2)</w:t>
            </w:r>
          </w:p>
        </w:tc>
        <w:tc>
          <w:tcPr>
            <w:tcW w:w="1854" w:type="dxa"/>
          </w:tcPr>
          <w:p w:rsidR="00150820" w:rsidRPr="005970CC" w:rsidRDefault="001463CD">
            <w:pPr>
              <w:pStyle w:val="TableParagraph"/>
              <w:spacing w:before="60"/>
              <w:ind w:left="209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0.3 (0.0; 1.1)</w:t>
            </w:r>
          </w:p>
        </w:tc>
      </w:tr>
      <w:tr w:rsidR="00150820" w:rsidTr="009C7304">
        <w:trPr>
          <w:trHeight w:hRule="exact" w:val="358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spacing w:before="62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at week 12</w:t>
            </w:r>
          </w:p>
        </w:tc>
        <w:tc>
          <w:tcPr>
            <w:tcW w:w="957" w:type="dxa"/>
          </w:tcPr>
          <w:p w:rsidR="00150820" w:rsidRPr="005970CC" w:rsidRDefault="001463CD">
            <w:pPr>
              <w:pStyle w:val="TableParagraph"/>
              <w:spacing w:before="62"/>
              <w:ind w:left="15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16</w:t>
            </w:r>
          </w:p>
        </w:tc>
        <w:tc>
          <w:tcPr>
            <w:tcW w:w="1393" w:type="dxa"/>
          </w:tcPr>
          <w:p w:rsidR="00150820" w:rsidRPr="005970CC" w:rsidRDefault="001463CD">
            <w:pPr>
              <w:pStyle w:val="TableParagraph"/>
              <w:spacing w:before="62"/>
              <w:ind w:left="132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0.4 (0.2)</w:t>
            </w:r>
          </w:p>
        </w:tc>
        <w:tc>
          <w:tcPr>
            <w:tcW w:w="1718" w:type="dxa"/>
          </w:tcPr>
          <w:p w:rsidR="00150820" w:rsidRPr="005970CC" w:rsidRDefault="001463CD">
            <w:pPr>
              <w:pStyle w:val="TableParagraph"/>
              <w:spacing w:before="62"/>
              <w:ind w:left="179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0.4 (0.1; 1.1)</w:t>
            </w:r>
          </w:p>
        </w:tc>
        <w:tc>
          <w:tcPr>
            <w:tcW w:w="1501" w:type="dxa"/>
          </w:tcPr>
          <w:p w:rsidR="00150820" w:rsidRPr="005970CC" w:rsidRDefault="001463CD">
            <w:pPr>
              <w:pStyle w:val="TableParagraph"/>
              <w:spacing w:before="62"/>
              <w:ind w:left="154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0.4 (0.2)</w:t>
            </w:r>
          </w:p>
        </w:tc>
        <w:tc>
          <w:tcPr>
            <w:tcW w:w="1854" w:type="dxa"/>
          </w:tcPr>
          <w:p w:rsidR="00150820" w:rsidRPr="005970CC" w:rsidRDefault="001463CD">
            <w:pPr>
              <w:pStyle w:val="TableParagraph"/>
              <w:spacing w:before="62"/>
              <w:ind w:left="20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0.4 (0.0; 1.5)</w:t>
            </w:r>
          </w:p>
        </w:tc>
      </w:tr>
      <w:tr w:rsidR="00150820" w:rsidTr="009C7304">
        <w:trPr>
          <w:trHeight w:hRule="exact" w:val="416"/>
        </w:trPr>
        <w:tc>
          <w:tcPr>
            <w:tcW w:w="2043" w:type="dxa"/>
          </w:tcPr>
          <w:p w:rsidR="00150820" w:rsidRPr="005970CC" w:rsidRDefault="001463CD">
            <w:pPr>
              <w:pStyle w:val="TableParagraph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at week 24</w:t>
            </w:r>
          </w:p>
        </w:tc>
        <w:tc>
          <w:tcPr>
            <w:tcW w:w="957" w:type="dxa"/>
          </w:tcPr>
          <w:p w:rsidR="00150820" w:rsidRPr="005970CC" w:rsidRDefault="001463CD">
            <w:pPr>
              <w:pStyle w:val="TableParagraph"/>
              <w:ind w:left="159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12</w:t>
            </w:r>
          </w:p>
        </w:tc>
        <w:tc>
          <w:tcPr>
            <w:tcW w:w="1393" w:type="dxa"/>
          </w:tcPr>
          <w:p w:rsidR="00150820" w:rsidRPr="005970CC" w:rsidRDefault="001463CD">
            <w:pPr>
              <w:pStyle w:val="TableParagraph"/>
              <w:ind w:left="133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0.4 (0.2)</w:t>
            </w:r>
          </w:p>
        </w:tc>
        <w:tc>
          <w:tcPr>
            <w:tcW w:w="1718" w:type="dxa"/>
          </w:tcPr>
          <w:p w:rsidR="00150820" w:rsidRPr="005970CC" w:rsidRDefault="001463CD">
            <w:pPr>
              <w:pStyle w:val="TableParagraph"/>
              <w:ind w:left="180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0.4 (0.0; 1.2)</w:t>
            </w:r>
          </w:p>
        </w:tc>
        <w:tc>
          <w:tcPr>
            <w:tcW w:w="1501" w:type="dxa"/>
          </w:tcPr>
          <w:p w:rsidR="00150820" w:rsidRPr="005970CC" w:rsidRDefault="001463CD">
            <w:pPr>
              <w:pStyle w:val="TableParagraph"/>
              <w:ind w:left="155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0.4 (0.2)</w:t>
            </w:r>
          </w:p>
        </w:tc>
        <w:tc>
          <w:tcPr>
            <w:tcW w:w="1854" w:type="dxa"/>
          </w:tcPr>
          <w:p w:rsidR="00150820" w:rsidRPr="005970CC" w:rsidRDefault="001463CD">
            <w:pPr>
              <w:pStyle w:val="TableParagraph"/>
              <w:ind w:left="208"/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</w:pPr>
            <w:r w:rsidRPr="005970CC">
              <w:rPr>
                <w:rFonts w:ascii="Myriad Pro" w:eastAsiaTheme="minorHAnsi" w:hAnsi="Myriad Pro" w:cstheme="minorBidi"/>
                <w:sz w:val="16"/>
                <w:szCs w:val="16"/>
                <w:lang w:val="en-CA"/>
              </w:rPr>
              <w:t>0.4 (0.0; 1.6)</w:t>
            </w:r>
          </w:p>
        </w:tc>
      </w:tr>
    </w:tbl>
    <w:p w:rsidR="00150820" w:rsidRDefault="00150820">
      <w:pPr>
        <w:rPr>
          <w:sz w:val="20"/>
        </w:rPr>
        <w:sectPr w:rsidR="00150820">
          <w:type w:val="continuous"/>
          <w:pgSz w:w="12240" w:h="15840"/>
          <w:pgMar w:top="1500" w:right="1360" w:bottom="280" w:left="1180" w:header="720" w:footer="720" w:gutter="0"/>
          <w:cols w:space="720"/>
        </w:sectPr>
      </w:pPr>
    </w:p>
    <w:p w:rsidR="00150820" w:rsidRPr="009E2345" w:rsidRDefault="001463CD">
      <w:pPr>
        <w:pStyle w:val="BodyText"/>
        <w:spacing w:before="82"/>
        <w:ind w:left="154"/>
        <w:rPr>
          <w:rFonts w:ascii="Myriad Pro" w:eastAsiaTheme="minorHAnsi" w:hAnsi="Myriad Pro" w:cstheme="minorBidi"/>
          <w:bCs w:val="0"/>
          <w:sz w:val="18"/>
          <w:szCs w:val="18"/>
          <w:lang w:val="en-CA"/>
        </w:rPr>
      </w:pPr>
      <w:r w:rsidRPr="009E2345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lastRenderedPageBreak/>
        <w:t>Supplementary Figure 1: Change in HbA1c from baseline to week 12 and week 24- PP</w:t>
      </w:r>
    </w:p>
    <w:p w:rsidR="00150820" w:rsidRPr="009E2345" w:rsidRDefault="001463CD">
      <w:pPr>
        <w:spacing w:before="41"/>
        <w:ind w:left="154"/>
        <w:rPr>
          <w:rFonts w:ascii="Myriad Pro" w:eastAsiaTheme="minorHAnsi" w:hAnsi="Myriad Pro" w:cstheme="minorBidi"/>
          <w:b/>
          <w:sz w:val="18"/>
          <w:szCs w:val="18"/>
          <w:lang w:val="en-CA"/>
        </w:rPr>
      </w:pPr>
      <w:proofErr w:type="gramStart"/>
      <w:r w:rsidRPr="009E2345">
        <w:rPr>
          <w:rFonts w:ascii="Myriad Pro" w:eastAsiaTheme="minorHAnsi" w:hAnsi="Myriad Pro" w:cstheme="minorBidi"/>
          <w:b/>
          <w:sz w:val="18"/>
          <w:szCs w:val="18"/>
          <w:lang w:val="en-CA"/>
        </w:rPr>
        <w:t>population</w:t>
      </w:r>
      <w:proofErr w:type="gramEnd"/>
    </w:p>
    <w:p w:rsidR="00150820" w:rsidRDefault="00150820">
      <w:pPr>
        <w:rPr>
          <w:b/>
          <w:sz w:val="20"/>
        </w:rPr>
      </w:pPr>
    </w:p>
    <w:p w:rsidR="00150820" w:rsidRDefault="00150820">
      <w:pPr>
        <w:rPr>
          <w:b/>
          <w:sz w:val="20"/>
        </w:rPr>
      </w:pPr>
    </w:p>
    <w:p w:rsidR="00150820" w:rsidRDefault="001463CD">
      <w:pPr>
        <w:spacing w:before="6"/>
        <w:rPr>
          <w:b/>
          <w:sz w:val="16"/>
        </w:rPr>
      </w:pPr>
      <w:r>
        <w:pict>
          <v:group id="_x0000_s1036" style="position:absolute;margin-left:93.65pt;margin-top:11.45pt;width:424.95pt;height:318.55pt;z-index:251657216;mso-wrap-distance-left:0;mso-wrap-distance-right:0;mso-position-horizontal-relative:page" coordorigin="1873,229" coordsize="8499,6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873;top:229;width:670;height:6371">
              <v:imagedata r:id="rId5" o:title=""/>
            </v:shape>
            <v:shape id="_x0000_s1044" type="#_x0000_t75" style="position:absolute;left:2543;top:229;width:1012;height:6371">
              <v:imagedata r:id="rId6" o:title=""/>
            </v:shape>
            <v:shape id="_x0000_s1043" type="#_x0000_t75" style="position:absolute;left:3554;top:229;width:1012;height:6371">
              <v:imagedata r:id="rId7" o:title=""/>
            </v:shape>
            <v:shape id="_x0000_s1042" type="#_x0000_t75" style="position:absolute;left:4566;top:229;width:1012;height:6371">
              <v:imagedata r:id="rId8" o:title=""/>
            </v:shape>
            <v:shape id="_x0000_s1041" type="#_x0000_t75" style="position:absolute;left:5578;top:229;width:1012;height:6371">
              <v:imagedata r:id="rId9" o:title=""/>
            </v:shape>
            <v:shape id="_x0000_s1040" type="#_x0000_t75" style="position:absolute;left:6589;top:229;width:1012;height:6371">
              <v:imagedata r:id="rId10" o:title=""/>
            </v:shape>
            <v:shape id="_x0000_s1039" type="#_x0000_t75" style="position:absolute;left:7601;top:229;width:1012;height:6371">
              <v:imagedata r:id="rId11" o:title=""/>
            </v:shape>
            <v:shape id="_x0000_s1038" type="#_x0000_t75" style="position:absolute;left:8612;top:229;width:1012;height:6371">
              <v:imagedata r:id="rId12" o:title=""/>
            </v:shape>
            <v:shape id="_x0000_s1037" type="#_x0000_t75" style="position:absolute;left:9624;top:229;width:747;height:6371">
              <v:imagedata r:id="rId13" o:title=""/>
            </v:shape>
            <w10:wrap type="topAndBottom" anchorx="page"/>
          </v:group>
        </w:pict>
      </w:r>
    </w:p>
    <w:p w:rsidR="00150820" w:rsidRDefault="00150820">
      <w:pPr>
        <w:rPr>
          <w:sz w:val="16"/>
        </w:rPr>
        <w:sectPr w:rsidR="00150820">
          <w:pgSz w:w="12240" w:h="15840"/>
          <w:pgMar w:top="1280" w:right="1720" w:bottom="280" w:left="1720" w:header="720" w:footer="720" w:gutter="0"/>
          <w:cols w:space="720"/>
        </w:sectPr>
      </w:pPr>
    </w:p>
    <w:p w:rsidR="00150820" w:rsidRPr="001463CD" w:rsidRDefault="001463CD">
      <w:pPr>
        <w:pStyle w:val="BodyText"/>
        <w:spacing w:before="82"/>
        <w:ind w:left="154"/>
        <w:rPr>
          <w:rFonts w:ascii="Myriad Pro" w:eastAsiaTheme="minorHAnsi" w:hAnsi="Myriad Pro" w:cstheme="minorBidi"/>
          <w:bCs w:val="0"/>
          <w:sz w:val="18"/>
          <w:szCs w:val="18"/>
          <w:lang w:val="en-CA"/>
        </w:rPr>
      </w:pPr>
      <w:bookmarkStart w:id="0" w:name="_GoBack"/>
      <w:r w:rsidRPr="001463CD">
        <w:rPr>
          <w:rFonts w:ascii="Myriad Pro" w:eastAsiaTheme="minorHAnsi" w:hAnsi="Myriad Pro" w:cstheme="minorBidi"/>
          <w:bCs w:val="0"/>
          <w:sz w:val="18"/>
          <w:szCs w:val="18"/>
          <w:lang w:val="en-CA"/>
        </w:rPr>
        <w:lastRenderedPageBreak/>
        <w:t>Supplementary Figure 2: Change in FBG from baseline to week 12 and week 24- PP population</w:t>
      </w:r>
    </w:p>
    <w:bookmarkEnd w:id="0"/>
    <w:p w:rsidR="00150820" w:rsidRDefault="00150820">
      <w:pPr>
        <w:rPr>
          <w:b/>
          <w:sz w:val="20"/>
        </w:rPr>
      </w:pPr>
    </w:p>
    <w:p w:rsidR="00150820" w:rsidRDefault="00150820">
      <w:pPr>
        <w:rPr>
          <w:b/>
          <w:sz w:val="20"/>
        </w:rPr>
      </w:pPr>
    </w:p>
    <w:p w:rsidR="00150820" w:rsidRDefault="001463CD">
      <w:pPr>
        <w:spacing w:before="1"/>
        <w:rPr>
          <w:b/>
          <w:sz w:val="16"/>
        </w:rPr>
      </w:pPr>
      <w:r>
        <w:pict>
          <v:group id="_x0000_s1026" style="position:absolute;margin-left:93.65pt;margin-top:11.25pt;width:424.95pt;height:318.55pt;z-index:251658240;mso-wrap-distance-left:0;mso-wrap-distance-right:0;mso-position-horizontal-relative:page" coordorigin="1873,225" coordsize="8499,6371">
            <v:shape id="_x0000_s1035" type="#_x0000_t75" style="position:absolute;left:1873;top:225;width:670;height:6371">
              <v:imagedata r:id="rId14" o:title=""/>
            </v:shape>
            <v:shape id="_x0000_s1034" type="#_x0000_t75" style="position:absolute;left:2543;top:225;width:1012;height:6371">
              <v:imagedata r:id="rId15" o:title=""/>
            </v:shape>
            <v:shape id="_x0000_s1033" type="#_x0000_t75" style="position:absolute;left:3554;top:225;width:1012;height:6371">
              <v:imagedata r:id="rId16" o:title=""/>
            </v:shape>
            <v:shape id="_x0000_s1032" type="#_x0000_t75" style="position:absolute;left:4566;top:225;width:1012;height:6371">
              <v:imagedata r:id="rId17" o:title=""/>
            </v:shape>
            <v:shape id="_x0000_s1031" type="#_x0000_t75" style="position:absolute;left:5578;top:225;width:1012;height:6371">
              <v:imagedata r:id="rId18" o:title=""/>
            </v:shape>
            <v:shape id="_x0000_s1030" type="#_x0000_t75" style="position:absolute;left:6589;top:225;width:1012;height:6371">
              <v:imagedata r:id="rId19" o:title=""/>
            </v:shape>
            <v:shape id="_x0000_s1029" type="#_x0000_t75" style="position:absolute;left:7601;top:225;width:1012;height:6371">
              <v:imagedata r:id="rId20" o:title=""/>
            </v:shape>
            <v:shape id="_x0000_s1028" type="#_x0000_t75" style="position:absolute;left:8612;top:225;width:1012;height:6371">
              <v:imagedata r:id="rId21" o:title=""/>
            </v:shape>
            <v:shape id="_x0000_s1027" type="#_x0000_t75" style="position:absolute;left:9624;top:225;width:747;height:6371">
              <v:imagedata r:id="rId22" o:title=""/>
            </v:shape>
            <w10:wrap type="topAndBottom" anchorx="page"/>
          </v:group>
        </w:pict>
      </w:r>
    </w:p>
    <w:sectPr w:rsidR="00150820"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0820"/>
    <w:rsid w:val="001463CD"/>
    <w:rsid w:val="00150820"/>
    <w:rsid w:val="005970CC"/>
    <w:rsid w:val="009C7304"/>
    <w:rsid w:val="009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97"/>
    </w:pPr>
  </w:style>
  <w:style w:type="table" w:styleId="TableGrid">
    <w:name w:val="Table Grid"/>
    <w:basedOn w:val="TableNormal"/>
    <w:uiPriority w:val="59"/>
    <w:rsid w:val="009C7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Prateek Kharkwal</cp:lastModifiedBy>
  <cp:revision>14</cp:revision>
  <dcterms:created xsi:type="dcterms:W3CDTF">2017-02-10T18:34:00Z</dcterms:created>
  <dcterms:modified xsi:type="dcterms:W3CDTF">2017-02-10T13:07:00Z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2017-02-10T00:00:00Z</vt:filetime>
  </property>
</Properties>
</file>